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仿宋" w:hAnsi="仿宋" w:eastAsia="仿宋" w:cs="Times New Roman"/>
          <w:b/>
          <w:bCs/>
          <w:sz w:val="40"/>
          <w:szCs w:val="24"/>
        </w:rPr>
      </w:pPr>
      <w:r>
        <w:rPr>
          <w:rFonts w:hint="eastAsia" w:ascii="仿宋" w:hAnsi="仿宋" w:eastAsia="仿宋" w:cs="Times New Roman"/>
          <w:b/>
          <w:bCs/>
          <w:sz w:val="40"/>
          <w:szCs w:val="24"/>
        </w:rPr>
        <w:t>报价书</w:t>
      </w:r>
    </w:p>
    <w:p>
      <w:pPr>
        <w:pStyle w:val="2"/>
        <w:ind w:firstLine="140" w:firstLineChars="50"/>
        <w:rPr>
          <w:rFonts w:hint="eastAsia"/>
          <w:sz w:val="28"/>
          <w:szCs w:val="28"/>
          <w:u w:val="single"/>
        </w:rPr>
      </w:pPr>
      <w:r>
        <w:rPr>
          <w:rFonts w:hint="eastAsia"/>
          <w:sz w:val="28"/>
          <w:szCs w:val="28"/>
        </w:rPr>
        <w:t>致</w:t>
      </w:r>
      <w:r>
        <w:rPr>
          <w:rFonts w:hint="eastAsia"/>
          <w:sz w:val="28"/>
          <w:szCs w:val="28"/>
          <w:u w:val="single"/>
        </w:rPr>
        <w:t>：重庆地质矿产研究院</w:t>
      </w:r>
    </w:p>
    <w:tbl>
      <w:tblPr>
        <w:tblStyle w:val="3"/>
        <w:tblW w:w="499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5"/>
        <w:gridCol w:w="2669"/>
        <w:gridCol w:w="1330"/>
        <w:gridCol w:w="1330"/>
        <w:gridCol w:w="1329"/>
        <w:gridCol w:w="13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08" w:type="pct"/>
            <w:tcBorders>
              <w:top w:val="single" w:color="000000" w:sz="4" w:space="0"/>
              <w:left w:val="single" w:color="000000" w:sz="4" w:space="0"/>
              <w:bottom w:val="nil"/>
              <w:right w:val="single" w:color="000000" w:sz="4" w:space="0"/>
            </w:tcBorders>
            <w:shd w:val="clear" w:color="auto" w:fill="auto"/>
            <w:vAlign w:val="center"/>
          </w:tcPr>
          <w:p>
            <w:pPr>
              <w:widowControl/>
              <w:spacing w:line="440" w:lineRule="exact"/>
              <w:jc w:val="center"/>
              <w:textAlignment w:val="center"/>
              <w:rPr>
                <w:rFonts w:hint="eastAsia" w:ascii="方正仿宋_GBK" w:hAnsi="方正仿宋_GBK" w:eastAsia="方正仿宋_GBK" w:cs="方正仿宋_GBK"/>
                <w:b/>
                <w:bCs/>
                <w:color w:val="000000"/>
                <w:sz w:val="24"/>
                <w:szCs w:val="24"/>
                <w:lang w:val="en-US" w:eastAsia="zh-CN"/>
              </w:rPr>
            </w:pPr>
            <w:r>
              <w:rPr>
                <w:rFonts w:hint="eastAsia" w:ascii="方正仿宋_GBK" w:hAnsi="方正仿宋_GBK" w:eastAsia="方正仿宋_GBK" w:cs="方正仿宋_GBK"/>
                <w:b/>
                <w:bCs/>
                <w:color w:val="000000"/>
                <w:sz w:val="24"/>
                <w:szCs w:val="24"/>
                <w:lang w:val="en-US" w:eastAsia="zh-CN"/>
              </w:rPr>
              <w:t>序号</w:t>
            </w:r>
          </w:p>
        </w:tc>
        <w:tc>
          <w:tcPr>
            <w:tcW w:w="1567" w:type="pct"/>
            <w:tcBorders>
              <w:top w:val="single" w:color="000000" w:sz="4" w:space="0"/>
              <w:left w:val="single" w:color="000000" w:sz="4" w:space="0"/>
              <w:bottom w:val="nil"/>
              <w:right w:val="single" w:color="000000" w:sz="4" w:space="0"/>
            </w:tcBorders>
            <w:shd w:val="clear" w:color="auto" w:fill="auto"/>
            <w:vAlign w:val="center"/>
          </w:tcPr>
          <w:p>
            <w:pPr>
              <w:widowControl/>
              <w:spacing w:line="440" w:lineRule="exact"/>
              <w:jc w:val="center"/>
              <w:textAlignment w:val="center"/>
              <w:rPr>
                <w:rFonts w:hint="eastAsia" w:ascii="方正仿宋_GBK" w:hAnsi="方正仿宋_GBK" w:eastAsia="方正仿宋_GBK" w:cs="方正仿宋_GBK"/>
                <w:b/>
                <w:bCs/>
                <w:color w:val="000000"/>
                <w:sz w:val="24"/>
                <w:szCs w:val="24"/>
                <w:lang w:val="en-US" w:eastAsia="zh-CN"/>
              </w:rPr>
            </w:pPr>
            <w:r>
              <w:rPr>
                <w:rFonts w:hint="eastAsia" w:ascii="方正仿宋_GBK" w:hAnsi="方正仿宋_GBK" w:eastAsia="方正仿宋_GBK" w:cs="方正仿宋_GBK"/>
                <w:b/>
                <w:bCs/>
                <w:color w:val="000000"/>
                <w:sz w:val="24"/>
                <w:szCs w:val="24"/>
                <w:lang w:val="en-US" w:eastAsia="zh-CN"/>
              </w:rPr>
              <w:t>项目名称</w:t>
            </w:r>
          </w:p>
        </w:tc>
        <w:tc>
          <w:tcPr>
            <w:tcW w:w="78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24"/>
                <w:szCs w:val="24"/>
                <w:u w:val="none"/>
                <w:lang w:val="en-US" w:eastAsia="zh-CN" w:bidi="ar"/>
              </w:rPr>
            </w:pPr>
            <w:r>
              <w:rPr>
                <w:rFonts w:hint="eastAsia" w:ascii="方正仿宋_GBK" w:hAnsi="方正仿宋_GBK" w:eastAsia="方正仿宋_GBK" w:cs="方正仿宋_GBK"/>
                <w:b/>
                <w:bCs/>
                <w:i w:val="0"/>
                <w:iCs w:val="0"/>
                <w:color w:val="000000"/>
                <w:kern w:val="0"/>
                <w:sz w:val="24"/>
                <w:szCs w:val="24"/>
                <w:u w:val="none"/>
                <w:lang w:val="en-US" w:eastAsia="zh-CN" w:bidi="ar"/>
              </w:rPr>
              <w:t>债权人</w:t>
            </w:r>
          </w:p>
        </w:tc>
        <w:tc>
          <w:tcPr>
            <w:tcW w:w="781" w:type="pct"/>
            <w:tcBorders>
              <w:top w:val="single" w:color="000000" w:sz="4" w:space="0"/>
              <w:left w:val="single" w:color="000000" w:sz="4" w:space="0"/>
              <w:bottom w:val="nil"/>
              <w:right w:val="single" w:color="000000" w:sz="4" w:space="0"/>
            </w:tcBorders>
            <w:shd w:val="clear" w:color="auto" w:fill="auto"/>
            <w:vAlign w:val="center"/>
          </w:tcPr>
          <w:p>
            <w:pPr>
              <w:widowControl/>
              <w:spacing w:line="440" w:lineRule="exact"/>
              <w:jc w:val="center"/>
              <w:textAlignment w:val="center"/>
              <w:rPr>
                <w:rFonts w:hint="eastAsia" w:ascii="方正仿宋_GBK" w:hAnsi="方正仿宋_GBK" w:eastAsia="方正仿宋_GBK" w:cs="方正仿宋_GBK"/>
                <w:b/>
                <w:bCs/>
                <w:color w:val="000000"/>
                <w:sz w:val="24"/>
                <w:szCs w:val="24"/>
                <w:lang w:val="en-US" w:eastAsia="zh-CN"/>
              </w:rPr>
            </w:pPr>
            <w:r>
              <w:rPr>
                <w:rFonts w:hint="eastAsia" w:ascii="方正仿宋_GBK" w:hAnsi="方正仿宋_GBK" w:eastAsia="方正仿宋_GBK" w:cs="方正仿宋_GBK"/>
                <w:b/>
                <w:bCs/>
                <w:color w:val="000000"/>
                <w:sz w:val="24"/>
                <w:szCs w:val="24"/>
                <w:lang w:val="en-US" w:eastAsia="zh-CN"/>
              </w:rPr>
              <w:t>未收款</w:t>
            </w:r>
            <w:r>
              <w:rPr>
                <w:rFonts w:hint="eastAsia" w:ascii="方正仿宋_GBK" w:hAnsi="方正仿宋_GBK" w:eastAsia="方正仿宋_GBK" w:cs="方正仿宋_GBK"/>
                <w:b/>
                <w:bCs/>
                <w:color w:val="000000"/>
                <w:sz w:val="24"/>
                <w:szCs w:val="24"/>
                <w:lang w:val="en-US" w:eastAsia="zh-CN"/>
              </w:rPr>
              <w:br w:type="textWrapping"/>
            </w:r>
            <w:r>
              <w:rPr>
                <w:rFonts w:hint="eastAsia" w:ascii="方正仿宋_GBK" w:hAnsi="方正仿宋_GBK" w:eastAsia="方正仿宋_GBK" w:cs="方正仿宋_GBK"/>
                <w:b/>
                <w:bCs/>
                <w:color w:val="000000"/>
                <w:sz w:val="24"/>
                <w:szCs w:val="24"/>
                <w:lang w:val="en-US" w:eastAsia="zh-CN"/>
              </w:rPr>
              <w:t>（万元）</w:t>
            </w:r>
          </w:p>
        </w:tc>
        <w:tc>
          <w:tcPr>
            <w:tcW w:w="780" w:type="pct"/>
            <w:tcBorders>
              <w:top w:val="single" w:color="000000" w:sz="4" w:space="0"/>
              <w:left w:val="single" w:color="000000" w:sz="4" w:space="0"/>
              <w:bottom w:val="nil"/>
              <w:right w:val="single" w:color="000000" w:sz="4" w:space="0"/>
            </w:tcBorders>
            <w:shd w:val="clear" w:color="auto" w:fill="auto"/>
            <w:vAlign w:val="center"/>
          </w:tcPr>
          <w:p>
            <w:pPr>
              <w:widowControl/>
              <w:spacing w:line="440" w:lineRule="exact"/>
              <w:jc w:val="center"/>
              <w:textAlignment w:val="center"/>
              <w:rPr>
                <w:rFonts w:hint="eastAsia" w:ascii="方正仿宋_GBK" w:hAnsi="方正仿宋_GBK" w:eastAsia="方正仿宋_GBK" w:cs="方正仿宋_GBK"/>
                <w:b/>
                <w:bCs/>
                <w:color w:val="000000"/>
                <w:sz w:val="24"/>
                <w:szCs w:val="24"/>
                <w:lang w:val="en-US" w:eastAsia="zh-CN"/>
              </w:rPr>
            </w:pPr>
            <w:r>
              <w:rPr>
                <w:rFonts w:hint="eastAsia" w:ascii="方正仿宋_GBK" w:hAnsi="方正仿宋_GBK" w:eastAsia="方正仿宋_GBK" w:cs="方正仿宋_GBK"/>
                <w:b/>
                <w:bCs/>
                <w:color w:val="000000"/>
                <w:sz w:val="24"/>
                <w:szCs w:val="24"/>
                <w:lang w:val="en-US" w:eastAsia="zh-CN"/>
              </w:rPr>
              <w:t>报价</w:t>
            </w:r>
          </w:p>
          <w:p>
            <w:pPr>
              <w:widowControl/>
              <w:spacing w:line="440" w:lineRule="exact"/>
              <w:jc w:val="center"/>
              <w:textAlignment w:val="center"/>
              <w:rPr>
                <w:rFonts w:hint="eastAsia" w:ascii="方正仿宋_GBK" w:hAnsi="方正仿宋_GBK" w:eastAsia="方正仿宋_GBK" w:cs="方正仿宋_GBK"/>
                <w:b/>
                <w:bCs/>
                <w:color w:val="000000"/>
                <w:sz w:val="24"/>
                <w:szCs w:val="24"/>
                <w:lang w:val="en-US" w:eastAsia="zh-CN"/>
              </w:rPr>
            </w:pPr>
            <w:r>
              <w:rPr>
                <w:rFonts w:hint="eastAsia" w:ascii="方正仿宋_GBK" w:hAnsi="方正仿宋_GBK" w:eastAsia="方正仿宋_GBK" w:cs="方正仿宋_GBK"/>
                <w:b/>
                <w:bCs/>
                <w:color w:val="000000"/>
                <w:sz w:val="24"/>
                <w:szCs w:val="24"/>
                <w:lang w:val="en-US" w:eastAsia="zh-CN"/>
              </w:rPr>
              <w:t>（元/项）</w:t>
            </w:r>
          </w:p>
        </w:tc>
        <w:tc>
          <w:tcPr>
            <w:tcW w:w="780" w:type="pct"/>
            <w:tcBorders>
              <w:top w:val="single" w:color="000000" w:sz="4" w:space="0"/>
              <w:left w:val="single" w:color="000000" w:sz="4" w:space="0"/>
              <w:bottom w:val="nil"/>
              <w:right w:val="single" w:color="000000" w:sz="4" w:space="0"/>
            </w:tcBorders>
            <w:shd w:val="clear" w:color="auto" w:fill="auto"/>
            <w:vAlign w:val="center"/>
          </w:tcPr>
          <w:p>
            <w:pPr>
              <w:widowControl/>
              <w:spacing w:line="440" w:lineRule="exact"/>
              <w:jc w:val="center"/>
              <w:textAlignment w:val="center"/>
              <w:rPr>
                <w:rFonts w:hint="eastAsia" w:ascii="方正仿宋_GBK" w:hAnsi="方正仿宋_GBK" w:eastAsia="方正仿宋_GBK" w:cs="方正仿宋_GBK"/>
                <w:b/>
                <w:bCs/>
                <w:color w:val="000000"/>
                <w:sz w:val="24"/>
                <w:szCs w:val="24"/>
                <w:lang w:val="en-US" w:eastAsia="zh-CN"/>
              </w:rPr>
            </w:pPr>
            <w:r>
              <w:rPr>
                <w:rFonts w:hint="eastAsia" w:ascii="方正仿宋_GBK" w:hAnsi="方正仿宋_GBK" w:eastAsia="方正仿宋_GBK" w:cs="方正仿宋_GBK"/>
                <w:b/>
                <w:bCs/>
                <w:color w:val="000000"/>
                <w:sz w:val="24"/>
                <w:szCs w:val="24"/>
                <w:lang w:val="en-US" w:eastAsia="zh-CN"/>
              </w:rPr>
              <w:t>合计</w:t>
            </w:r>
          </w:p>
          <w:p>
            <w:pPr>
              <w:widowControl/>
              <w:spacing w:line="440" w:lineRule="exact"/>
              <w:jc w:val="center"/>
              <w:textAlignment w:val="center"/>
              <w:rPr>
                <w:rFonts w:hint="eastAsia" w:ascii="方正仿宋_GBK" w:hAnsi="方正仿宋_GBK" w:eastAsia="方正仿宋_GBK" w:cs="方正仿宋_GBK"/>
                <w:b/>
                <w:bCs/>
                <w:color w:val="000000"/>
                <w:sz w:val="24"/>
                <w:szCs w:val="24"/>
                <w:lang w:val="en-US" w:eastAsia="zh-CN"/>
              </w:rPr>
            </w:pPr>
            <w:r>
              <w:rPr>
                <w:rFonts w:hint="eastAsia" w:ascii="方正仿宋_GBK" w:hAnsi="方正仿宋_GBK" w:eastAsia="方正仿宋_GBK" w:cs="方正仿宋_GBK"/>
                <w:b/>
                <w:bCs/>
                <w:color w:val="000000"/>
                <w:sz w:val="24"/>
                <w:szCs w:val="24"/>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lang w:val="en-US" w:eastAsia="zh-CN"/>
              </w:rPr>
              <w:t>1</w:t>
            </w:r>
          </w:p>
        </w:tc>
        <w:tc>
          <w:tcPr>
            <w:tcW w:w="1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开县馗旭生物科技股份有限公司大鲵养殖隧洞水文地质现状调查</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重庆地质矿产研究院</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b w:val="0"/>
                <w:bCs w:val="0"/>
                <w:color w:val="000000"/>
                <w:sz w:val="21"/>
                <w:szCs w:val="21"/>
                <w:lang w:val="en-US" w:eastAsia="zh-CN"/>
              </w:rPr>
              <w:t xml:space="preserve">8.00 </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p>
        </w:tc>
        <w:tc>
          <w:tcPr>
            <w:tcW w:w="78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color w:val="00000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lang w:val="en-US" w:eastAsia="zh-CN"/>
              </w:rPr>
              <w:t>2</w:t>
            </w:r>
          </w:p>
        </w:tc>
        <w:tc>
          <w:tcPr>
            <w:tcW w:w="1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中新·金佛山旅游文化产业园-中新文化园工程岩土工程勘察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重庆华地资环科技有限公司</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30.3285 </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p>
        </w:tc>
        <w:tc>
          <w:tcPr>
            <w:tcW w:w="780"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trPr>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lang w:val="en-US" w:eastAsia="zh-CN"/>
              </w:rPr>
              <w:t>3</w:t>
            </w:r>
          </w:p>
        </w:tc>
        <w:tc>
          <w:tcPr>
            <w:tcW w:w="1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中新·金佛山旅游文化产业园-金宝谷工程岩土工程勘察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重庆华地资环科技有限公司</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57.5368 </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p>
        </w:tc>
        <w:tc>
          <w:tcPr>
            <w:tcW w:w="780"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lang w:val="en-US" w:eastAsia="zh-CN"/>
              </w:rPr>
              <w:t>4</w:t>
            </w:r>
          </w:p>
        </w:tc>
        <w:tc>
          <w:tcPr>
            <w:tcW w:w="156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重庆市开州区九个镇和忠县新立镇污水处理厂改扩建工程EPC总承包（第二次）岩土工程勘察合同</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重庆华地资环科技有限公司</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21.50 </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p>
        </w:tc>
        <w:tc>
          <w:tcPr>
            <w:tcW w:w="780"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lang w:val="en-US" w:eastAsia="zh-CN"/>
              </w:rPr>
              <w:t>5</w:t>
            </w:r>
          </w:p>
        </w:tc>
        <w:tc>
          <w:tcPr>
            <w:tcW w:w="1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南川区佛缘路新建工程勘察合同</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重庆华地资环科技有限公司</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14.233 </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p>
        </w:tc>
        <w:tc>
          <w:tcPr>
            <w:tcW w:w="780"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lang w:val="en-US" w:eastAsia="zh-CN"/>
              </w:rPr>
              <w:t>6</w:t>
            </w:r>
          </w:p>
        </w:tc>
        <w:tc>
          <w:tcPr>
            <w:tcW w:w="1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巫山县恒川石料加工有限公司工程地质勘察建设工程勘察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重庆华地资环科技有限公司</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19.80 </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p>
        </w:tc>
        <w:tc>
          <w:tcPr>
            <w:tcW w:w="780"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lang w:val="en-US" w:eastAsia="zh-CN"/>
              </w:rPr>
              <w:t>7</w:t>
            </w:r>
          </w:p>
        </w:tc>
        <w:tc>
          <w:tcPr>
            <w:tcW w:w="1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巫溪县白鹿镇中坝村采石场建筑石料用灰岩矿划定矿区范围、储量核实及开发利用报告技术服务</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重庆地质矿产研究院</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12.00 </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p>
        </w:tc>
        <w:tc>
          <w:tcPr>
            <w:tcW w:w="780"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lang w:val="en-US" w:eastAsia="zh-CN"/>
              </w:rPr>
              <w:t>8</w:t>
            </w:r>
          </w:p>
        </w:tc>
        <w:tc>
          <w:tcPr>
            <w:tcW w:w="1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中国铁建大桥工程局集团有限公司合璧津高速公路土建五标一、二号堆料场临时用地踏勘论证报告</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重庆华地资环科技有限公司</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5.00 </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p>
        </w:tc>
        <w:tc>
          <w:tcPr>
            <w:tcW w:w="780"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trPr>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lang w:val="en-US" w:eastAsia="zh-CN"/>
              </w:rPr>
              <w:t>9</w:t>
            </w:r>
          </w:p>
        </w:tc>
        <w:tc>
          <w:tcPr>
            <w:tcW w:w="1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巫山县两坪乡向鸭村采石场资源储量核实报告、排危方案</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重庆地质矿产研究院</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10.00 </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p>
        </w:tc>
        <w:tc>
          <w:tcPr>
            <w:tcW w:w="780"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lang w:val="en-US" w:eastAsia="zh-CN"/>
              </w:rPr>
              <w:t>10</w:t>
            </w:r>
          </w:p>
        </w:tc>
        <w:tc>
          <w:tcPr>
            <w:tcW w:w="1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重庆宇航智能装备研究院有限公司增材制造技术装备产业基地建设工程勘察合同</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重庆华地资环科技有限公司</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5.75 </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p>
        </w:tc>
        <w:tc>
          <w:tcPr>
            <w:tcW w:w="780"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lang w:val="en-US" w:eastAsia="zh-CN"/>
              </w:rPr>
              <w:t>11</w:t>
            </w:r>
          </w:p>
        </w:tc>
        <w:tc>
          <w:tcPr>
            <w:tcW w:w="1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重庆市消防产品防火建材市场西部消防仓储物流配送基地施工用临时设施场地临时用地土地复垦方案</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重庆华地资环科技有限公司</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000000"/>
                <w:sz w:val="21"/>
                <w:szCs w:val="21"/>
                <w:lang w:val="en-US" w:eastAsia="zh-CN"/>
              </w:rPr>
            </w:pPr>
            <w:r>
              <w:rPr>
                <w:rFonts w:hint="eastAsia" w:ascii="方正仿宋_GBK" w:hAnsi="方正仿宋_GBK" w:eastAsia="方正仿宋_GBK" w:cs="方正仿宋_GBK"/>
                <w:b w:val="0"/>
                <w:bCs w:val="0"/>
                <w:color w:val="000000"/>
                <w:sz w:val="21"/>
                <w:szCs w:val="21"/>
                <w:lang w:val="en-US" w:eastAsia="zh-CN"/>
              </w:rPr>
              <w:t xml:space="preserve">1.00 </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bookmarkStart w:id="0" w:name="_GoBack"/>
            <w:bookmarkEnd w:id="0"/>
          </w:p>
        </w:tc>
        <w:tc>
          <w:tcPr>
            <w:tcW w:w="78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p>
        </w:tc>
      </w:tr>
    </w:tbl>
    <w:p>
      <w:pPr>
        <w:pStyle w:val="2"/>
        <w:ind w:firstLine="140" w:firstLineChars="50"/>
        <w:rPr>
          <w:rFonts w:hint="eastAsia"/>
          <w:sz w:val="28"/>
          <w:szCs w:val="28"/>
          <w:u w:val="single"/>
        </w:rPr>
      </w:pPr>
    </w:p>
    <w:p>
      <w:pPr>
        <w:pStyle w:val="2"/>
        <w:ind w:firstLine="140" w:firstLineChars="50"/>
        <w:rPr>
          <w:rFonts w:hint="eastAsia"/>
          <w:sz w:val="28"/>
          <w:szCs w:val="28"/>
          <w:u w:val="single"/>
        </w:rPr>
      </w:pPr>
    </w:p>
    <w:p>
      <w:pPr>
        <w:spacing w:line="480" w:lineRule="auto"/>
        <w:ind w:right="1960"/>
        <w:rPr>
          <w:rFonts w:hint="eastAsia" w:ascii="仿宋" w:hAnsi="仿宋" w:eastAsia="仿宋" w:cs="Times New Roman"/>
          <w:color w:val="000000"/>
          <w:sz w:val="24"/>
          <w:szCs w:val="24"/>
        </w:rPr>
      </w:pPr>
      <w:r>
        <w:rPr>
          <w:rFonts w:hint="eastAsia" w:ascii="仿宋" w:hAnsi="仿宋" w:eastAsia="仿宋" w:cs="Times New Roman"/>
          <w:color w:val="000000"/>
          <w:sz w:val="24"/>
          <w:szCs w:val="24"/>
        </w:rPr>
        <w:t>联系人：</w:t>
      </w:r>
    </w:p>
    <w:p>
      <w:pPr>
        <w:spacing w:line="480" w:lineRule="auto"/>
        <w:ind w:right="1960"/>
        <w:rPr>
          <w:rFonts w:hint="eastAsia" w:ascii="仿宋" w:hAnsi="仿宋" w:eastAsia="仿宋" w:cs="Times New Roman"/>
          <w:color w:val="000000"/>
          <w:sz w:val="24"/>
          <w:szCs w:val="24"/>
        </w:rPr>
      </w:pPr>
      <w:r>
        <w:rPr>
          <w:rFonts w:hint="eastAsia" w:ascii="仿宋" w:hAnsi="仿宋" w:eastAsia="仿宋" w:cs="Times New Roman"/>
          <w:color w:val="000000"/>
          <w:sz w:val="24"/>
          <w:szCs w:val="24"/>
        </w:rPr>
        <w:t>电话：                 电子邮箱：</w:t>
      </w:r>
    </w:p>
    <w:p>
      <w:pPr>
        <w:spacing w:line="480" w:lineRule="auto"/>
        <w:ind w:right="1960"/>
        <w:jc w:val="center"/>
        <w:rPr>
          <w:rFonts w:hint="eastAsia" w:ascii="仿宋" w:hAnsi="仿宋" w:eastAsia="仿宋" w:cs="Times New Roman"/>
          <w:color w:val="000000"/>
          <w:sz w:val="24"/>
          <w:szCs w:val="24"/>
        </w:rPr>
      </w:pPr>
      <w:r>
        <w:rPr>
          <w:rFonts w:hint="eastAsia" w:ascii="仿宋" w:hAnsi="仿宋" w:eastAsia="仿宋" w:cs="Times New Roman"/>
          <w:color w:val="000000"/>
          <w:sz w:val="28"/>
          <w:szCs w:val="28"/>
        </w:rPr>
        <w:t xml:space="preserve">                     </w:t>
      </w:r>
      <w:r>
        <w:rPr>
          <w:rFonts w:hint="eastAsia" w:ascii="仿宋" w:hAnsi="仿宋" w:eastAsia="仿宋" w:cs="Times New Roman"/>
          <w:color w:val="000000"/>
          <w:sz w:val="24"/>
          <w:szCs w:val="24"/>
        </w:rPr>
        <w:t xml:space="preserve">          单位名称（盖章）：</w:t>
      </w:r>
    </w:p>
    <w:p>
      <w:pPr>
        <w:spacing w:line="480" w:lineRule="auto"/>
        <w:ind w:right="1960"/>
        <w:jc w:val="center"/>
        <w:rPr>
          <w:rFonts w:hint="eastAsia" w:ascii="仿宋" w:hAnsi="仿宋" w:eastAsia="仿宋" w:cs="Times New Roman"/>
          <w:color w:val="000000"/>
          <w:sz w:val="24"/>
          <w:szCs w:val="24"/>
        </w:rPr>
      </w:pPr>
      <w:r>
        <w:rPr>
          <w:rFonts w:hint="eastAsia" w:ascii="仿宋" w:hAnsi="仿宋" w:eastAsia="仿宋" w:cs="Times New Roman"/>
          <w:color w:val="000000"/>
          <w:sz w:val="24"/>
          <w:szCs w:val="24"/>
        </w:rPr>
        <w:t xml:space="preserve">                                              日期：</w:t>
      </w:r>
    </w:p>
    <w:p>
      <w:pPr>
        <w:pStyle w:val="2"/>
        <w:rPr>
          <w:rFonts w:hint="eastAsia" w:ascii="仿宋" w:hAnsi="仿宋" w:eastAsia="仿宋" w:cs="Times New Roman"/>
          <w:color w:val="000000"/>
          <w:sz w:val="24"/>
          <w:szCs w:val="24"/>
        </w:rPr>
      </w:pPr>
    </w:p>
    <w:p>
      <w:pPr>
        <w:pStyle w:val="2"/>
        <w:rPr>
          <w:rFonts w:hint="eastAsia" w:ascii="仿宋" w:hAnsi="仿宋" w:eastAsia="仿宋" w:cs="Times New Roman"/>
          <w:color w:val="000000"/>
          <w:sz w:val="24"/>
          <w:szCs w:val="24"/>
        </w:rPr>
      </w:pPr>
    </w:p>
    <w:p>
      <w:pPr>
        <w:pStyle w:val="2"/>
        <w:rPr>
          <w:rFonts w:hint="eastAsia" w:ascii="仿宋" w:hAnsi="仿宋" w:eastAsia="仿宋" w:cs="Times New Roman"/>
          <w:color w:val="000000"/>
          <w:sz w:val="24"/>
          <w:szCs w:val="24"/>
        </w:rPr>
      </w:pPr>
    </w:p>
    <w:p>
      <w:pPr>
        <w:pStyle w:val="2"/>
        <w:rPr>
          <w:rFonts w:hint="eastAsia" w:ascii="仿宋" w:hAnsi="仿宋" w:eastAsia="仿宋" w:cs="Times New Roman"/>
          <w:color w:val="000000"/>
          <w:sz w:val="24"/>
          <w:szCs w:val="24"/>
        </w:rPr>
      </w:pPr>
    </w:p>
    <w:p>
      <w:pPr>
        <w:pStyle w:val="2"/>
        <w:rPr>
          <w:rFonts w:hint="eastAsia" w:ascii="仿宋" w:hAnsi="仿宋" w:eastAsia="仿宋" w:cs="Times New Roman"/>
          <w:color w:val="000000"/>
          <w:sz w:val="24"/>
          <w:szCs w:val="24"/>
        </w:rPr>
      </w:pPr>
    </w:p>
    <w:p>
      <w:pPr>
        <w:pStyle w:val="2"/>
        <w:rPr>
          <w:rFonts w:hint="eastAsia" w:ascii="仿宋" w:hAnsi="仿宋" w:eastAsia="仿宋" w:cs="Times New Roman"/>
          <w:color w:val="000000"/>
          <w:sz w:val="24"/>
          <w:szCs w:val="24"/>
        </w:rPr>
      </w:pPr>
    </w:p>
    <w:p>
      <w:pPr>
        <w:pStyle w:val="2"/>
        <w:rPr>
          <w:rFonts w:hint="eastAsia" w:ascii="仿宋" w:hAnsi="仿宋" w:eastAsia="仿宋" w:cs="Times New Roman"/>
          <w:color w:val="000000"/>
          <w:sz w:val="24"/>
          <w:szCs w:val="24"/>
        </w:rPr>
      </w:pPr>
    </w:p>
    <w:p>
      <w:pPr>
        <w:pStyle w:val="2"/>
        <w:rPr>
          <w:rFonts w:hint="eastAsia" w:ascii="仿宋" w:hAnsi="仿宋" w:eastAsia="仿宋" w:cs="Times New Roman"/>
          <w:color w:val="000000"/>
          <w:sz w:val="24"/>
          <w:szCs w:val="24"/>
        </w:rPr>
      </w:pPr>
    </w:p>
    <w:p>
      <w:pPr>
        <w:pStyle w:val="2"/>
        <w:rPr>
          <w:rFonts w:hint="eastAsia" w:ascii="仿宋" w:hAnsi="仿宋" w:eastAsia="仿宋" w:cs="Times New Roman"/>
          <w:color w:val="000000"/>
          <w:sz w:val="24"/>
          <w:szCs w:val="24"/>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0ZDllMzE5OThkMzQxOWY2YTlmMTVhNjQ1YmM3YjYifQ=="/>
  </w:docVars>
  <w:rsids>
    <w:rsidRoot w:val="00292683"/>
    <w:rsid w:val="00292683"/>
    <w:rsid w:val="005A4431"/>
    <w:rsid w:val="00750B8A"/>
    <w:rsid w:val="0D0E3CDB"/>
    <w:rsid w:val="152C629E"/>
    <w:rsid w:val="16917DF9"/>
    <w:rsid w:val="1B4253CD"/>
    <w:rsid w:val="1BDC7FD9"/>
    <w:rsid w:val="26A91559"/>
    <w:rsid w:val="312E52ED"/>
    <w:rsid w:val="4ACF778E"/>
    <w:rsid w:val="57CD0549"/>
    <w:rsid w:val="6F832B97"/>
    <w:rsid w:val="70F6713B"/>
    <w:rsid w:val="7A4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character" w:customStyle="1" w:styleId="5">
    <w:name w:val="font41"/>
    <w:basedOn w:val="4"/>
    <w:uiPriority w:val="0"/>
    <w:rPr>
      <w:rFonts w:hint="eastAsia" w:ascii="方正仿宋_GBK" w:hAnsi="方正仿宋_GBK" w:eastAsia="方正仿宋_GBK" w:cs="方正仿宋_GBK"/>
      <w:b/>
      <w:bCs/>
      <w:color w:val="000000"/>
      <w:sz w:val="24"/>
      <w:szCs w:val="24"/>
      <w:u w:val="none"/>
    </w:rPr>
  </w:style>
  <w:style w:type="character" w:customStyle="1" w:styleId="6">
    <w:name w:val="font81"/>
    <w:basedOn w:val="4"/>
    <w:qFormat/>
    <w:uiPriority w:val="0"/>
    <w:rPr>
      <w:rFonts w:hint="eastAsia" w:ascii="方正仿宋_GBK" w:hAnsi="方正仿宋_GBK" w:eastAsia="方正仿宋_GBK" w:cs="方正仿宋_GBK"/>
      <w:b/>
      <w:bCs/>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561</Words>
  <Characters>610</Characters>
  <Lines>3</Lines>
  <Paragraphs>1</Paragraphs>
  <TotalTime>0</TotalTime>
  <ScaleCrop>false</ScaleCrop>
  <LinksUpToDate>false</LinksUpToDate>
  <CharactersWithSpaces>715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2022-01-10T03:14:00Z</dcterms:created>
  <dc:creator>张明（采购）</dc:creator>
  <cp:lastModifiedBy>张迪</cp:lastModifiedBy>
  <dcterms:modified xsi:type="dcterms:W3CDTF">2022-07-29T06:52:31Z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F389E6E9DE5845EABAB87F983A4CD116</vt:lpwstr>
  </property>
</Properties>
</file>